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FD0" w:rsidRDefault="00717FD0" w:rsidP="00616D25">
      <w:pPr>
        <w:rPr>
          <w:rFonts w:ascii="Arial" w:hAnsi="Arial" w:cs="Arial"/>
          <w:b/>
          <w:sz w:val="36"/>
          <w:szCs w:val="36"/>
        </w:rPr>
      </w:pPr>
    </w:p>
    <w:p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rsidR="007E12FE" w:rsidRPr="00FB1F1B" w:rsidRDefault="007E12FE" w:rsidP="007E12FE">
      <w:pPr>
        <w:pStyle w:val="GPSL2NumberedBoldHeading"/>
        <w:numPr>
          <w:ilvl w:val="0"/>
          <w:numId w:val="0"/>
        </w:numPr>
        <w:jc w:val="left"/>
        <w:rPr>
          <w:rFonts w:ascii="Arial" w:hAnsi="Arial"/>
          <w:sz w:val="24"/>
          <w:highlight w:val="yellow"/>
        </w:rPr>
      </w:pPr>
    </w:p>
    <w:p w:rsidR="000F5504" w:rsidRPr="000F5504" w:rsidRDefault="000F5504" w:rsidP="000F5504">
      <w:pPr>
        <w:pStyle w:val="Heading1"/>
        <w:keepLines w:val="0"/>
        <w:numPr>
          <w:ilvl w:val="0"/>
          <w:numId w:val="85"/>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24"/>
          <w:szCs w:val="24"/>
        </w:rPr>
      </w:pPr>
      <w:bookmarkStart w:id="73" w:name="_Toc368573027"/>
      <w:bookmarkStart w:id="74" w:name="_Toc144211886"/>
      <w:r w:rsidRPr="000F5504">
        <w:rPr>
          <w:rFonts w:ascii="Arial" w:hAnsi="Arial" w:cs="Arial"/>
          <w:color w:val="auto"/>
          <w:sz w:val="24"/>
          <w:szCs w:val="24"/>
        </w:rPr>
        <w:t>PURPOSE</w:t>
      </w:r>
      <w:bookmarkEnd w:id="73"/>
      <w:bookmarkEnd w:id="74"/>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75" w:name="_Toc368573028"/>
      <w:bookmarkStart w:id="76" w:name="_Toc297554773"/>
      <w:bookmarkStart w:id="77" w:name="_Toc296415805"/>
      <w:bookmarkStart w:id="78" w:name="_Toc296415793"/>
      <w:r w:rsidRPr="000F5504">
        <w:rPr>
          <w:rFonts w:ascii="Arial" w:hAnsi="Arial" w:cs="Arial"/>
          <w:b w:val="0"/>
          <w:color w:val="auto"/>
          <w:sz w:val="24"/>
          <w:szCs w:val="24"/>
        </w:rPr>
        <w:t>The Department for Work and Pensions (DWP) would like to invite tenders for a 3-year Central Analysis and Science Strategy (CASS) Social Research Contract (the ‘Contract’). The purpose of this Contract is to allow the department to commission projects at short notice to meet the evidence needed by DWP colleagues and Ministers to inform priority policies and timely decision-making.</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The Contract will be valued at £2.6 million. This is a maximum budget rather than for the Department to commit to any spend.</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DWP reserves the right to extend the Contract for a further one (1) year. The £2.6m value excludes any extension options.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The Contract is intended to provide faster access to contracted research and a quick return of evidence to fulfil new and urgent Ministerial evaluation and research requirements.</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It is therefore expected that projects contracted through this Contract will cover a range of subject areas, reflecting DWP Ministerial policy areas (see Section 3.1 and 5.3). In addition to covering a wide range of subject areas, we expect the projects put through the Contract to be of a varied nature in terms of scope, timescales, cost and research methodologies.</w:t>
      </w:r>
    </w:p>
    <w:p w:rsidR="000F5504" w:rsidRPr="000F5504" w:rsidRDefault="000F5504" w:rsidP="000F5504">
      <w:pPr>
        <w:pStyle w:val="Heading1"/>
        <w:keepLines w:val="0"/>
        <w:numPr>
          <w:ilvl w:val="0"/>
          <w:numId w:val="8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24"/>
          <w:szCs w:val="24"/>
        </w:rPr>
      </w:pPr>
      <w:bookmarkStart w:id="79" w:name="_Toc144211887"/>
      <w:r w:rsidRPr="000F5504">
        <w:rPr>
          <w:rFonts w:ascii="Arial" w:hAnsi="Arial" w:cs="Arial"/>
          <w:color w:val="auto"/>
          <w:sz w:val="24"/>
          <w:szCs w:val="24"/>
        </w:rPr>
        <w:t xml:space="preserve">BACKGROUND TO THE </w:t>
      </w:r>
      <w:bookmarkEnd w:id="75"/>
      <w:r w:rsidRPr="000F5504">
        <w:rPr>
          <w:rFonts w:ascii="Arial" w:hAnsi="Arial" w:cs="Arial"/>
          <w:color w:val="auto"/>
          <w:sz w:val="24"/>
          <w:szCs w:val="24"/>
        </w:rPr>
        <w:t>BUYER</w:t>
      </w:r>
      <w:bookmarkEnd w:id="79"/>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80" w:name="_Toc368573029"/>
      <w:r w:rsidRPr="000F5504">
        <w:rPr>
          <w:rFonts w:ascii="Arial" w:hAnsi="Arial" w:cs="Arial"/>
          <w:b w:val="0"/>
          <w:color w:val="auto"/>
          <w:sz w:val="24"/>
          <w:szCs w:val="24"/>
        </w:rPr>
        <w:t>The Department for Work and Pensions is the Contracting Authority (the ‘Authority).</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The Authority is responsible for welfare, pensions and child maintenance policy. As the UK’s biggest public service department, it administers the State Pension and a range of working age, disability and ill health benefits to around 20 million claimants and customers.</w:t>
      </w:r>
    </w:p>
    <w:p w:rsidR="000F5504" w:rsidRPr="000F5504" w:rsidRDefault="000F5504" w:rsidP="000F5504">
      <w:pPr>
        <w:pStyle w:val="Heading1"/>
        <w:keepLines w:val="0"/>
        <w:numPr>
          <w:ilvl w:val="0"/>
          <w:numId w:val="84"/>
        </w:numPr>
        <w:tabs>
          <w:tab w:val="clear" w:pos="720"/>
        </w:tabs>
        <w:overflowPunct w:val="0"/>
        <w:autoSpaceDE w:val="0"/>
        <w:autoSpaceDN w:val="0"/>
        <w:adjustRightInd w:val="0"/>
        <w:spacing w:before="0" w:after="120" w:line="240" w:lineRule="auto"/>
        <w:jc w:val="both"/>
        <w:textAlignment w:val="baseline"/>
        <w:rPr>
          <w:rFonts w:ascii="Arial" w:hAnsi="Arial" w:cs="Arial"/>
          <w:b w:val="0"/>
          <w:color w:val="auto"/>
          <w:sz w:val="24"/>
          <w:szCs w:val="24"/>
        </w:rPr>
      </w:pPr>
      <w:bookmarkStart w:id="81" w:name="_Toc144211888"/>
      <w:r w:rsidRPr="000F5504">
        <w:rPr>
          <w:rFonts w:ascii="Arial" w:hAnsi="Arial" w:cs="Arial"/>
          <w:color w:val="auto"/>
          <w:sz w:val="24"/>
          <w:szCs w:val="24"/>
        </w:rPr>
        <w:t>BACKGROUND TO REQUIREMENT/OVERVIEW</w:t>
      </w:r>
      <w:bookmarkEnd w:id="76"/>
      <w:r w:rsidRPr="000F5504">
        <w:rPr>
          <w:rFonts w:ascii="Arial" w:hAnsi="Arial" w:cs="Arial"/>
          <w:color w:val="auto"/>
          <w:sz w:val="24"/>
          <w:szCs w:val="24"/>
        </w:rPr>
        <w:t xml:space="preserve"> OF REQUIREMENT</w:t>
      </w:r>
      <w:bookmarkEnd w:id="80"/>
      <w:bookmarkEnd w:id="81"/>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82" w:name="_Toc297554774"/>
      <w:bookmarkEnd w:id="77"/>
      <w:r w:rsidRPr="000F5504">
        <w:rPr>
          <w:rFonts w:ascii="Arial" w:hAnsi="Arial" w:cs="Arial"/>
          <w:b w:val="0"/>
          <w:color w:val="auto"/>
          <w:sz w:val="24"/>
          <w:szCs w:val="24"/>
        </w:rPr>
        <w:t>The Department for Work and Pensions is responsible for multiple functions, into which research and analysis will occur. These functions are:</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Social security (this includes benefits, grants, loans, pensions and Housing Benefit);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Child maintenance;</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The investigation or prosecution of offences relating to tax credits and benefits;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lastRenderedPageBreak/>
        <w:t>Prevention and detection of fraud, and protecting public funds;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Employment and training;</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Promoting financial planning for retirement;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Policy relating to occupational and personal pension schemes.</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83" w:name="_Toc368573030"/>
      <w:r w:rsidRPr="000F5504">
        <w:rPr>
          <w:rFonts w:ascii="Arial" w:hAnsi="Arial" w:cs="Arial"/>
          <w:b w:val="0"/>
          <w:color w:val="auto"/>
          <w:sz w:val="24"/>
          <w:szCs w:val="24"/>
        </w:rPr>
        <w:t xml:space="preserve">The DWP Analytical Function plays an essential role in supporting evidence-based policy making, fulfilling evidence gaps and driving key Strategic and Ministerial decisions.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The Central Analysis and Science Strategy (CASS) Unit will manage the Contract on behalf of DWP, including all financial management.  Individual project managers will lead on specific projects let through this Contract and liaise with the supplier(s) as needed. CASS will regularly review the progress of the Contract throughout its lifetime with both the project manager and the supplier(s).</w:t>
      </w:r>
    </w:p>
    <w:p w:rsidR="000F5504" w:rsidRPr="000F5504" w:rsidRDefault="000F5504" w:rsidP="000F5504">
      <w:pPr>
        <w:pStyle w:val="Heading1"/>
        <w:keepLines w:val="0"/>
        <w:numPr>
          <w:ilvl w:val="0"/>
          <w:numId w:val="8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24"/>
          <w:szCs w:val="24"/>
        </w:rPr>
      </w:pPr>
      <w:bookmarkStart w:id="84" w:name="_Toc144211889"/>
      <w:r w:rsidRPr="000F5504">
        <w:rPr>
          <w:rFonts w:ascii="Arial" w:hAnsi="Arial" w:cs="Arial"/>
          <w:color w:val="auto"/>
          <w:sz w:val="24"/>
          <w:szCs w:val="24"/>
        </w:rPr>
        <w:t>DEFINITIONS</w:t>
      </w:r>
      <w:bookmarkEnd w:id="84"/>
      <w:r w:rsidRPr="000F5504">
        <w:rPr>
          <w:rFonts w:ascii="Arial" w:hAnsi="Arial" w:cs="Arial"/>
          <w:color w:val="auto"/>
          <w:sz w:val="24"/>
          <w:szCs w:val="24"/>
        </w:rPr>
        <w:t xml:space="preserve"> </w:t>
      </w:r>
    </w:p>
    <w:tbl>
      <w:tblPr>
        <w:tblStyle w:val="TableGrid"/>
        <w:tblW w:w="0" w:type="auto"/>
        <w:tblInd w:w="720" w:type="dxa"/>
        <w:tblLook w:val="04A0" w:firstRow="1" w:lastRow="0" w:firstColumn="1" w:lastColumn="0" w:noHBand="0" w:noVBand="1"/>
      </w:tblPr>
      <w:tblGrid>
        <w:gridCol w:w="2048"/>
        <w:gridCol w:w="6248"/>
      </w:tblGrid>
      <w:tr w:rsidR="000F5504" w:rsidRPr="000F5504" w:rsidTr="00996FE6">
        <w:tc>
          <w:tcPr>
            <w:tcW w:w="2048" w:type="dxa"/>
            <w:shd w:val="clear" w:color="auto" w:fill="B8CCE4" w:themeFill="accent1" w:themeFillTint="66"/>
          </w:tcPr>
          <w:p w:rsidR="000F5504" w:rsidRPr="000F5504" w:rsidRDefault="000F5504" w:rsidP="00996FE6">
            <w:pPr>
              <w:pStyle w:val="Heading2"/>
              <w:spacing w:after="120"/>
              <w:ind w:left="18" w:hanging="18"/>
              <w:outlineLvl w:val="1"/>
              <w:rPr>
                <w:rFonts w:ascii="Arial" w:hAnsi="Arial" w:cs="Arial"/>
                <w:b w:val="0"/>
                <w:color w:val="auto"/>
                <w:sz w:val="24"/>
                <w:szCs w:val="24"/>
                <w:highlight w:val="yellow"/>
              </w:rPr>
            </w:pPr>
            <w:r w:rsidRPr="000F5504">
              <w:rPr>
                <w:rFonts w:ascii="Arial" w:hAnsi="Arial" w:cs="Arial"/>
                <w:b w:val="0"/>
                <w:color w:val="auto"/>
                <w:sz w:val="24"/>
                <w:szCs w:val="24"/>
              </w:rPr>
              <w:t>Expression or Acronym</w:t>
            </w:r>
          </w:p>
        </w:tc>
        <w:tc>
          <w:tcPr>
            <w:tcW w:w="6251" w:type="dxa"/>
            <w:shd w:val="clear" w:color="auto" w:fill="B8CCE4" w:themeFill="accent1" w:themeFillTint="66"/>
          </w:tcPr>
          <w:p w:rsidR="000F5504" w:rsidRPr="000F5504" w:rsidRDefault="000F5504" w:rsidP="00996FE6">
            <w:pPr>
              <w:pStyle w:val="Heading2"/>
              <w:spacing w:after="120"/>
              <w:ind w:left="720" w:hanging="720"/>
              <w:outlineLvl w:val="1"/>
              <w:rPr>
                <w:rFonts w:ascii="Arial" w:hAnsi="Arial" w:cs="Arial"/>
                <w:b w:val="0"/>
                <w:color w:val="auto"/>
                <w:sz w:val="24"/>
                <w:szCs w:val="24"/>
                <w:highlight w:val="yellow"/>
              </w:rPr>
            </w:pPr>
            <w:r w:rsidRPr="000F5504">
              <w:rPr>
                <w:rFonts w:ascii="Arial" w:hAnsi="Arial" w:cs="Arial"/>
                <w:b w:val="0"/>
                <w:color w:val="auto"/>
                <w:sz w:val="24"/>
                <w:szCs w:val="24"/>
              </w:rPr>
              <w:t>Definition</w:t>
            </w:r>
          </w:p>
        </w:tc>
      </w:tr>
      <w:tr w:rsidR="000F5504" w:rsidRPr="000F5504" w:rsidTr="00996FE6">
        <w:tc>
          <w:tcPr>
            <w:tcW w:w="2048" w:type="dxa"/>
          </w:tcPr>
          <w:p w:rsidR="000F5504" w:rsidRPr="000F5504" w:rsidRDefault="000F5504" w:rsidP="00996FE6">
            <w:pPr>
              <w:pStyle w:val="Heading2"/>
              <w:spacing w:after="120"/>
              <w:ind w:left="720" w:hanging="720"/>
              <w:outlineLvl w:val="1"/>
              <w:rPr>
                <w:rFonts w:ascii="Arial" w:hAnsi="Arial" w:cs="Arial"/>
                <w:b w:val="0"/>
                <w:color w:val="auto"/>
                <w:sz w:val="24"/>
                <w:szCs w:val="24"/>
                <w:highlight w:val="yellow"/>
              </w:rPr>
            </w:pPr>
            <w:r w:rsidRPr="000F5504">
              <w:rPr>
                <w:rFonts w:ascii="Arial" w:hAnsi="Arial" w:cs="Arial"/>
                <w:b w:val="0"/>
                <w:color w:val="auto"/>
                <w:sz w:val="24"/>
                <w:szCs w:val="24"/>
              </w:rPr>
              <w:t>DWP</w:t>
            </w:r>
          </w:p>
        </w:tc>
        <w:tc>
          <w:tcPr>
            <w:tcW w:w="6251" w:type="dxa"/>
          </w:tcPr>
          <w:p w:rsidR="000F5504" w:rsidRPr="000F5504" w:rsidRDefault="000F5504" w:rsidP="00996FE6">
            <w:pPr>
              <w:pStyle w:val="Heading2"/>
              <w:spacing w:after="120"/>
              <w:outlineLvl w:val="1"/>
              <w:rPr>
                <w:rFonts w:ascii="Arial" w:hAnsi="Arial" w:cs="Arial"/>
                <w:b w:val="0"/>
                <w:color w:val="auto"/>
                <w:sz w:val="24"/>
                <w:szCs w:val="24"/>
                <w:highlight w:val="yellow"/>
              </w:rPr>
            </w:pPr>
            <w:r w:rsidRPr="000F5504">
              <w:rPr>
                <w:rFonts w:ascii="Arial" w:hAnsi="Arial" w:cs="Arial"/>
                <w:b w:val="0"/>
                <w:color w:val="auto"/>
                <w:sz w:val="24"/>
                <w:szCs w:val="24"/>
              </w:rPr>
              <w:t>Means Department for Work and Pensions</w:t>
            </w:r>
          </w:p>
        </w:tc>
      </w:tr>
      <w:tr w:rsidR="000F5504" w:rsidRPr="000F5504" w:rsidTr="00996FE6">
        <w:tc>
          <w:tcPr>
            <w:tcW w:w="2048" w:type="dxa"/>
          </w:tcPr>
          <w:p w:rsidR="000F5504" w:rsidRPr="000F5504" w:rsidRDefault="000F5504" w:rsidP="00996FE6">
            <w:pPr>
              <w:pStyle w:val="Heading2"/>
              <w:spacing w:after="120"/>
              <w:ind w:left="720" w:hanging="720"/>
              <w:outlineLvl w:val="1"/>
              <w:rPr>
                <w:rFonts w:ascii="Arial" w:hAnsi="Arial" w:cs="Arial"/>
                <w:b w:val="0"/>
                <w:color w:val="auto"/>
                <w:sz w:val="24"/>
                <w:szCs w:val="24"/>
                <w:shd w:val="clear" w:color="auto" w:fill="FFFF99"/>
              </w:rPr>
            </w:pPr>
            <w:r w:rsidRPr="000F5504">
              <w:rPr>
                <w:rFonts w:ascii="Arial" w:hAnsi="Arial" w:cs="Arial"/>
                <w:b w:val="0"/>
                <w:color w:val="auto"/>
                <w:sz w:val="24"/>
                <w:szCs w:val="24"/>
              </w:rPr>
              <w:t>CASS</w:t>
            </w:r>
          </w:p>
        </w:tc>
        <w:tc>
          <w:tcPr>
            <w:tcW w:w="6251" w:type="dxa"/>
          </w:tcPr>
          <w:p w:rsidR="000F5504" w:rsidRPr="000F5504" w:rsidRDefault="000F5504" w:rsidP="00996FE6">
            <w:pPr>
              <w:pStyle w:val="Heading2"/>
              <w:spacing w:after="120"/>
              <w:outlineLvl w:val="1"/>
              <w:rPr>
                <w:rFonts w:ascii="Arial" w:hAnsi="Arial" w:cs="Arial"/>
                <w:b w:val="0"/>
                <w:color w:val="auto"/>
                <w:sz w:val="24"/>
                <w:szCs w:val="24"/>
              </w:rPr>
            </w:pPr>
            <w:r w:rsidRPr="000F5504">
              <w:rPr>
                <w:rFonts w:ascii="Arial" w:hAnsi="Arial" w:cs="Arial"/>
                <w:b w:val="0"/>
                <w:color w:val="auto"/>
                <w:sz w:val="24"/>
                <w:szCs w:val="24"/>
              </w:rPr>
              <w:t>Means Central Analysis and Scientific Strategy Unit</w:t>
            </w:r>
          </w:p>
        </w:tc>
      </w:tr>
    </w:tbl>
    <w:p w:rsidR="000F5504" w:rsidRPr="000F5504" w:rsidRDefault="000F5504" w:rsidP="000F5504">
      <w:pPr>
        <w:pStyle w:val="Heading1"/>
        <w:keepLines w:val="0"/>
        <w:numPr>
          <w:ilvl w:val="0"/>
          <w:numId w:val="8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24"/>
          <w:szCs w:val="24"/>
        </w:rPr>
      </w:pPr>
      <w:bookmarkStart w:id="85" w:name="_Toc144211890"/>
      <w:r w:rsidRPr="000F5504">
        <w:rPr>
          <w:rFonts w:ascii="Arial" w:hAnsi="Arial" w:cs="Arial"/>
          <w:color w:val="auto"/>
          <w:sz w:val="24"/>
          <w:szCs w:val="24"/>
        </w:rPr>
        <w:t>SCOPE OF REQUIREMENT</w:t>
      </w:r>
      <w:bookmarkEnd w:id="82"/>
      <w:bookmarkEnd w:id="83"/>
      <w:bookmarkEnd w:id="85"/>
      <w:r w:rsidRPr="000F5504">
        <w:rPr>
          <w:rFonts w:ascii="Arial" w:hAnsi="Arial" w:cs="Arial"/>
          <w:color w:val="auto"/>
          <w:sz w:val="24"/>
          <w:szCs w:val="24"/>
        </w:rPr>
        <w:t xml:space="preserve"> </w:t>
      </w:r>
    </w:p>
    <w:bookmarkEnd w:id="78"/>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The Authority will need to respond to emerging evidence requirements identified during policy development.  The Contract is designed to have flexibility to allow the Authority to commission work as requests and priorities develop over the expected 3-year duration of the project (with a possible 1-year extension).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The Contract will involve projects which involve research into a range of DWP Ministerial policy areas. The DWP research objectives, as outlined in the </w:t>
      </w:r>
      <w:hyperlink r:id="rId8" w:history="1">
        <w:r w:rsidRPr="000F5504">
          <w:rPr>
            <w:rStyle w:val="Hyperlink"/>
            <w:rFonts w:ascii="Arial" w:hAnsi="Arial" w:cs="Arial"/>
            <w:b w:val="0"/>
            <w:color w:val="auto"/>
            <w:sz w:val="24"/>
            <w:szCs w:val="24"/>
          </w:rPr>
          <w:t>DWP Areas of Research Interest 2019,</w:t>
        </w:r>
      </w:hyperlink>
      <w:r w:rsidRPr="000F5504">
        <w:rPr>
          <w:rFonts w:ascii="Arial" w:hAnsi="Arial" w:cs="Arial"/>
          <w:b w:val="0"/>
          <w:color w:val="auto"/>
          <w:sz w:val="24"/>
          <w:szCs w:val="24"/>
        </w:rPr>
        <w:t xml:space="preserve"> provide an overview of key areas and we would encourage you to engage with this document. The Potential Provider is expected to demonstrate a breadth of specialist knowledge and experience on the majority of DWP policy areas and ensure expertise is accessible where necessary.</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The Contract is likely to involve a number of projects which will involve a range of methods depending upon the individual project need. These projects will largely be high-priority in nature and may require rapid findings. The Potential Provider is expected to have experience of a range of methodologies and the expertise to suggest new and innovative methodologies where they will increase the efficiency and effectiveness of research.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lastRenderedPageBreak/>
        <w:t>The types of research methodologies the Authority expects the Contract to be used for will include some of the following:</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quantitative surveys (potentially telephone or online) with individuals, claimants, employers, professionals and/or employees;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qualitative research (potentially including in-depth interviews and focus groups) with individuals, claimants, employers, professionals and/or employees;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case studies;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evidence/literature reviews;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economic analysis, including cost-benefit analysis;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thematic analysis;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workshops;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innovative methods such as ethnographically-informed approaches and social media analysis;</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contract may also be used for the following:</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ad-hoc research services, such as research recruitment;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specialist methodological advice from an experienced expert, to include for example a bespoke coaching session/seminar, with practical examples of how the approach has been used in different projects and with different participants, as well as tips on how to analyse and report on the data; comments/peer review of key outputs e.g. topic guide, analysis plan and the report. </w:t>
      </w:r>
    </w:p>
    <w:p w:rsidR="000F5504" w:rsidRPr="000F5504" w:rsidRDefault="000F5504" w:rsidP="000F5504">
      <w:pPr>
        <w:pStyle w:val="Heading1"/>
        <w:keepLines w:val="0"/>
        <w:numPr>
          <w:ilvl w:val="0"/>
          <w:numId w:val="84"/>
        </w:numPr>
        <w:adjustRightInd w:val="0"/>
        <w:spacing w:before="0" w:after="120" w:line="240" w:lineRule="auto"/>
        <w:jc w:val="both"/>
        <w:rPr>
          <w:rFonts w:ascii="Arial" w:hAnsi="Arial" w:cs="Arial"/>
          <w:color w:val="auto"/>
          <w:sz w:val="24"/>
          <w:szCs w:val="24"/>
        </w:rPr>
      </w:pPr>
      <w:bookmarkStart w:id="86" w:name="_Toc368573031"/>
      <w:bookmarkStart w:id="87" w:name="_Toc144211891"/>
      <w:r w:rsidRPr="000F5504">
        <w:rPr>
          <w:rFonts w:ascii="Arial" w:hAnsi="Arial" w:cs="Arial"/>
          <w:color w:val="auto"/>
          <w:sz w:val="24"/>
          <w:szCs w:val="24"/>
        </w:rPr>
        <w:t>THE REQUIREMENT</w:t>
      </w:r>
      <w:bookmarkEnd w:id="86"/>
      <w:bookmarkEnd w:id="87"/>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88" w:name="_Toc368573032"/>
      <w:r w:rsidRPr="000F5504">
        <w:rPr>
          <w:rFonts w:ascii="Arial" w:hAnsi="Arial" w:cs="Arial"/>
          <w:b w:val="0"/>
          <w:color w:val="auto"/>
          <w:sz w:val="24"/>
          <w:szCs w:val="24"/>
        </w:rPr>
        <w:t xml:space="preserve">In order to fulfil the Contract, the Authority would anticipate the Potential Provider to have all of the resource and skills in house or can demonstrate the ability to partner with other suitable organisations.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As part of the bid submission the Potential Provider is required to:</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Provide evidence of previous technical expertise and experience in conducting mixed method research on majority DWP Ministerial policy areas, as outlined in section 5.3.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Provide evidence of previous technical expertise and experience in designing, managing and conducting survey with participant groups that are relevant to DWP policy areas.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Provide evidence of technical experience in quantitative and qualitative research, evidence reviews, use of theoretical and/or </w:t>
      </w:r>
      <w:r w:rsidRPr="000F5504">
        <w:rPr>
          <w:rFonts w:ascii="Arial" w:hAnsi="Arial" w:cs="Arial"/>
          <w:color w:val="auto"/>
        </w:rPr>
        <w:lastRenderedPageBreak/>
        <w:t xml:space="preserve">behavioural frameworks, and a description of particular strengths of their organisation. This will include a CV for the account manager and names and brief qualifications of their proposed research team.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Assess the key risks to the Contract. They should identify the most significant risks to the Contract and the successful completion of potential projects, assess the degree of risk (likelihood and impact) and set out strategies for minimising these risks and managing the consequences if problems occur.</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The Authority would expect providers to demonstrate value for money for each project commissioned under the Contract.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will:</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Appoint a dedicated account manager with named deputy/alternative contact who will ensure the smooth running of the Contract. The dedicated manager will be expected to attend monthly virtual meetings with the CASS lead to discuss progress and any issues, and will be expected to provide feedback and updates at quarterly meetings.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Undertake to respond to all queries within 48 hours of receipt.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Each Project will be called off as a separate standalone programme with agreed project milestones. Payment will be made on completion of these staged milestones.</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Ensure senior analyst oversight of projects.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may not begin work, or incur any costs, on any particular research unless and until the Potential Provider receives from the Authority the following upfront and in writing prior to the commencement of work on that research project: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Written authorisation from the Authority that it is content for work on a particular research project to begin;</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research proposal for the work;</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Confirmation of agreed timelines and payment milestones for the research. All prices are to be submitted should exclude VAT.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Prior to the commencement of each piece of authorised research, the Potential Provider must provide the Authority with a research proposal containing the following information:</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detailed project timeline;</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lastRenderedPageBreak/>
        <w:t>Proposed costings broken down in detail and based on the lesser of either: framework rates set out in the proposal; or discounted rates submitted in response to this invite to tender as outlined in section 13. The breakdowns should cover:</w:t>
      </w:r>
    </w:p>
    <w:p w:rsidR="000F5504" w:rsidRPr="000F5504" w:rsidRDefault="000F5504" w:rsidP="000F5504">
      <w:pPr>
        <w:pStyle w:val="Heading4"/>
        <w:keepNext w:val="0"/>
        <w:keepLines w:val="0"/>
        <w:numPr>
          <w:ilvl w:val="3"/>
          <w:numId w:val="84"/>
        </w:numPr>
        <w:adjustRightInd w:val="0"/>
        <w:spacing w:before="0" w:after="240" w:line="240" w:lineRule="auto"/>
        <w:jc w:val="both"/>
        <w:rPr>
          <w:rFonts w:ascii="Arial" w:hAnsi="Arial" w:cs="Arial"/>
          <w:color w:val="auto"/>
          <w:sz w:val="24"/>
          <w:szCs w:val="24"/>
        </w:rPr>
      </w:pPr>
      <w:r w:rsidRPr="000F5504">
        <w:rPr>
          <w:rFonts w:ascii="Arial" w:hAnsi="Arial" w:cs="Arial"/>
          <w:color w:val="auto"/>
          <w:sz w:val="24"/>
          <w:szCs w:val="24"/>
        </w:rPr>
        <w:t xml:space="preserve">Staff costs - day rates for each of the project team members and the number of days’ staff are allocated to each project task; </w:t>
      </w:r>
    </w:p>
    <w:p w:rsidR="000F5504" w:rsidRPr="000F5504" w:rsidRDefault="000F5504" w:rsidP="000F5504">
      <w:pPr>
        <w:pStyle w:val="Heading4"/>
        <w:keepNext w:val="0"/>
        <w:keepLines w:val="0"/>
        <w:numPr>
          <w:ilvl w:val="3"/>
          <w:numId w:val="84"/>
        </w:numPr>
        <w:adjustRightInd w:val="0"/>
        <w:spacing w:before="0" w:after="240" w:line="240" w:lineRule="auto"/>
        <w:jc w:val="both"/>
        <w:rPr>
          <w:rFonts w:ascii="Arial" w:hAnsi="Arial" w:cs="Arial"/>
          <w:color w:val="auto"/>
          <w:sz w:val="24"/>
          <w:szCs w:val="24"/>
        </w:rPr>
      </w:pPr>
      <w:r w:rsidRPr="000F5504">
        <w:rPr>
          <w:rFonts w:ascii="Arial" w:hAnsi="Arial" w:cs="Arial"/>
          <w:color w:val="auto"/>
          <w:sz w:val="24"/>
          <w:szCs w:val="24"/>
        </w:rPr>
        <w:t>Costs by project component - to include a breakdown of costs for research design, fieldwork, analysis and reporting.</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A proposed payment schedule which must be tied to the achievement of key milestones.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Contract will terminate 3 years from signing the Contract or after 4 years if the 1-year extension has been put in place.</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Authority will reserve the right to vary the Contract to accommodate additional analytical work across DWP areas, should policy direction dictate. Any variation to deliverables will be intrinsically linked to the overarching Contract and will not result in a material change to the Contract.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DWP commissions a range of research from a number of providers. The Potential Provider is expected to engage with other research organisations commissioned to undertake related research on behalf of the DWP, as appropriate. </w:t>
      </w:r>
    </w:p>
    <w:p w:rsidR="000F5504" w:rsidRPr="000F5504" w:rsidRDefault="000F5504" w:rsidP="000F5504">
      <w:pPr>
        <w:pStyle w:val="Heading1"/>
        <w:keepLines w:val="0"/>
        <w:numPr>
          <w:ilvl w:val="0"/>
          <w:numId w:val="84"/>
        </w:numPr>
        <w:adjustRightInd w:val="0"/>
        <w:spacing w:before="0" w:after="120" w:line="240" w:lineRule="auto"/>
        <w:jc w:val="both"/>
        <w:rPr>
          <w:rFonts w:ascii="Arial" w:hAnsi="Arial" w:cs="Arial"/>
          <w:color w:val="auto"/>
          <w:sz w:val="24"/>
          <w:szCs w:val="24"/>
        </w:rPr>
      </w:pPr>
      <w:bookmarkStart w:id="89" w:name="_Toc144211892"/>
      <w:r w:rsidRPr="000F5504">
        <w:rPr>
          <w:rFonts w:ascii="Arial" w:hAnsi="Arial" w:cs="Arial"/>
          <w:color w:val="auto"/>
          <w:sz w:val="24"/>
          <w:szCs w:val="24"/>
        </w:rPr>
        <w:t>KEY MILESTONES</w:t>
      </w:r>
      <w:bookmarkEnd w:id="88"/>
      <w:r w:rsidRPr="000F5504">
        <w:rPr>
          <w:rFonts w:ascii="Arial" w:hAnsi="Arial" w:cs="Arial"/>
          <w:color w:val="auto"/>
          <w:sz w:val="24"/>
          <w:szCs w:val="24"/>
        </w:rPr>
        <w:t xml:space="preserve"> AND DELIVERABLES</w:t>
      </w:r>
      <w:bookmarkEnd w:id="89"/>
    </w:p>
    <w:p w:rsidR="000F5504" w:rsidRPr="000F5504" w:rsidRDefault="000F5504" w:rsidP="000F5504">
      <w:pPr>
        <w:pStyle w:val="Heading2"/>
        <w:keepNext w:val="0"/>
        <w:keepLines w:val="0"/>
        <w:numPr>
          <w:ilvl w:val="1"/>
          <w:numId w:val="84"/>
        </w:numPr>
        <w:tabs>
          <w:tab w:val="num" w:pos="862"/>
        </w:tabs>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Authority will agree timelines and milestones between the department/project managers and the Contractor for each project commissioned through the Contract.</w:t>
      </w:r>
      <w:bookmarkStart w:id="90" w:name="_Toc302637211"/>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91" w:name="_Toc368573033"/>
      <w:bookmarkStart w:id="92" w:name="_Toc144211893"/>
      <w:r w:rsidRPr="000F5504">
        <w:rPr>
          <w:rFonts w:ascii="Arial" w:hAnsi="Arial" w:cs="Arial"/>
          <w:color w:val="auto"/>
          <w:sz w:val="24"/>
          <w:szCs w:val="24"/>
        </w:rPr>
        <w:t>MANAGEMENT INFORMATION/REPORTING</w:t>
      </w:r>
      <w:bookmarkEnd w:id="91"/>
      <w:bookmarkEnd w:id="92"/>
    </w:p>
    <w:p w:rsidR="000F5504" w:rsidRPr="000F5504" w:rsidRDefault="000F5504" w:rsidP="000F5504">
      <w:pPr>
        <w:pStyle w:val="Heading2"/>
        <w:keepNext w:val="0"/>
        <w:keepLines w:val="0"/>
        <w:numPr>
          <w:ilvl w:val="1"/>
          <w:numId w:val="84"/>
        </w:numPr>
        <w:tabs>
          <w:tab w:val="num" w:pos="862"/>
        </w:tabs>
        <w:adjustRightInd w:val="0"/>
        <w:spacing w:before="0" w:after="240" w:line="240" w:lineRule="auto"/>
        <w:jc w:val="both"/>
        <w:rPr>
          <w:rFonts w:ascii="Arial" w:hAnsi="Arial" w:cs="Arial"/>
          <w:b w:val="0"/>
          <w:color w:val="auto"/>
          <w:sz w:val="24"/>
          <w:szCs w:val="24"/>
        </w:rPr>
      </w:pPr>
      <w:bookmarkStart w:id="93" w:name="_Toc368573034"/>
      <w:r w:rsidRPr="000F5504">
        <w:rPr>
          <w:rFonts w:ascii="Arial" w:hAnsi="Arial" w:cs="Arial"/>
          <w:b w:val="0"/>
          <w:color w:val="auto"/>
          <w:sz w:val="24"/>
          <w:szCs w:val="24"/>
        </w:rPr>
        <w:t>The Authority will keep the Potential Provider informed about current plans and decisions for which projects will be suitable to commission under this Contract, through regular catch-up meetings. The catch-up meetings would be used to flag potential projects and indicative timelines for delivery.</w:t>
      </w:r>
    </w:p>
    <w:p w:rsidR="000F5504" w:rsidRPr="000F5504" w:rsidRDefault="000F5504" w:rsidP="000F5504">
      <w:pPr>
        <w:pStyle w:val="Heading2"/>
        <w:keepNext w:val="0"/>
        <w:keepLines w:val="0"/>
        <w:numPr>
          <w:ilvl w:val="1"/>
          <w:numId w:val="84"/>
        </w:numPr>
        <w:tabs>
          <w:tab w:val="num" w:pos="862"/>
        </w:tabs>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will ensure that all reports are produced in line with the DWP Style Guide: </w:t>
      </w:r>
      <w:hyperlink r:id="rId9" w:history="1">
        <w:r w:rsidRPr="000F5504">
          <w:rPr>
            <w:rStyle w:val="Hyperlink"/>
            <w:rFonts w:ascii="Arial" w:hAnsi="Arial" w:cs="Arial"/>
            <w:b w:val="0"/>
            <w:color w:val="auto"/>
            <w:sz w:val="24"/>
            <w:szCs w:val="24"/>
          </w:rPr>
          <w:t>https://www.gov.uk/government/publications/dwp-research-reports-style-guide/dwp-research-reports-guidance</w:t>
        </w:r>
      </w:hyperlink>
      <w:r w:rsidRPr="000F5504">
        <w:rPr>
          <w:rFonts w:ascii="Arial" w:hAnsi="Arial" w:cs="Arial"/>
          <w:b w:val="0"/>
          <w:color w:val="auto"/>
          <w:sz w:val="24"/>
          <w:szCs w:val="24"/>
        </w:rPr>
        <w:t xml:space="preserve"> </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94" w:name="_Toc144211894"/>
      <w:bookmarkEnd w:id="93"/>
      <w:r w:rsidRPr="000F5504">
        <w:rPr>
          <w:rFonts w:ascii="Arial" w:hAnsi="Arial" w:cs="Arial"/>
          <w:color w:val="auto"/>
          <w:sz w:val="24"/>
          <w:szCs w:val="24"/>
        </w:rPr>
        <w:t>REPORTING</w:t>
      </w:r>
      <w:bookmarkEnd w:id="94"/>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(as represented by a senior research manager, associate director or equivalent) will report directly to the Authority's Contract </w:t>
      </w:r>
      <w:r w:rsidRPr="000F5504">
        <w:rPr>
          <w:rFonts w:ascii="Arial" w:hAnsi="Arial" w:cs="Arial"/>
          <w:b w:val="0"/>
          <w:color w:val="auto"/>
          <w:sz w:val="24"/>
          <w:szCs w:val="24"/>
        </w:rPr>
        <w:lastRenderedPageBreak/>
        <w:t>Manager at regular update meetings, and further report to individual project managers on a project-by-project basis.</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and DWP will agree research outputs to include a minimum of: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Fieldwork materials to be signed off by DWP;</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Regular (e.g. fortnightly) reporting of key findings to the DWP, throughout the fieldwork period, including feedback following piloting;</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A summary of preliminary findings from each project in the format to be agreed but will likely include short evidence notes, slide packs;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Presentation of findings for each project;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Reports containing the full findings written to DWP standards (as set out in the DWP style guide, to publishable quality) with drafts as necessary;</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technical report detailing the sampling and methodological approaches; and</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standalone summary of the research report.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Where applicable, the following outputs should also be included:</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 xml:space="preserve">A dummy dataset, to enable the preparation of code and analysis within DWP; </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fully documented, cleaned and weighted final dataset (in SPSS and SAS) and syntax, for use within DWP;</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data dictionary or variable list to accompany the final dataset;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A full list of validation procedures, grossing, imputation procedures, syntax for the publication of tables and charts, and the specification of derived variables for each dataset.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would also be expected to deliver presentations more widely to CASS and DWP colleagues on subject matters and methodological approaches as and when this may be required, in discussions with the CASS lead.</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95" w:name="_Toc144211895"/>
      <w:r w:rsidRPr="000F5504">
        <w:rPr>
          <w:rFonts w:ascii="Arial" w:hAnsi="Arial" w:cs="Arial"/>
          <w:color w:val="auto"/>
          <w:sz w:val="24"/>
          <w:szCs w:val="24"/>
        </w:rPr>
        <w:t>VOLUMES</w:t>
      </w:r>
      <w:bookmarkEnd w:id="95"/>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bookmarkStart w:id="96" w:name="_Toc368573035"/>
      <w:r w:rsidRPr="000F5504">
        <w:rPr>
          <w:rFonts w:ascii="Arial" w:hAnsi="Arial" w:cs="Arial"/>
          <w:b w:val="0"/>
          <w:color w:val="auto"/>
          <w:sz w:val="24"/>
          <w:szCs w:val="24"/>
        </w:rPr>
        <w:t xml:space="preserve">The Authority anticipates the Potential Provider to deliver a flexible programme of research.  This requirement is for a 3-year period (plus a possible 1-year extension) and the projects allocated to the Potential Provider will be on an ad hoc basis.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shd w:val="clear" w:color="auto" w:fill="FFFF99"/>
        </w:rPr>
      </w:pPr>
      <w:r w:rsidRPr="000F5504">
        <w:rPr>
          <w:rFonts w:ascii="Arial" w:hAnsi="Arial" w:cs="Arial"/>
          <w:b w:val="0"/>
          <w:color w:val="auto"/>
          <w:sz w:val="24"/>
          <w:szCs w:val="24"/>
        </w:rPr>
        <w:lastRenderedPageBreak/>
        <w:t>Volumes of work are not guaranteed.</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97" w:name="_Toc144211896"/>
      <w:r w:rsidRPr="000F5504">
        <w:rPr>
          <w:rFonts w:ascii="Arial" w:hAnsi="Arial" w:cs="Arial"/>
          <w:color w:val="auto"/>
          <w:sz w:val="24"/>
          <w:szCs w:val="24"/>
        </w:rPr>
        <w:t>CONTINUOUS IMPROVEMENT</w:t>
      </w:r>
      <w:bookmarkEnd w:id="96"/>
      <w:bookmarkEnd w:id="97"/>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will be expected to continually improve the way in which the required Services are to be delivered throughout the Contract duration.</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should present new ways of working with the Authority during quarterly Contract review meetings.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Changes to the way in which the Services are to be delivered must be brought to the Authority’s attention and agreed prior to any changes being implemented.</w:t>
      </w:r>
    </w:p>
    <w:p w:rsidR="000F5504" w:rsidRPr="000F5504" w:rsidRDefault="000F5504" w:rsidP="000F5504">
      <w:pPr>
        <w:pStyle w:val="Heading1"/>
        <w:keepLines w:val="0"/>
        <w:numPr>
          <w:ilvl w:val="0"/>
          <w:numId w:val="84"/>
        </w:numPr>
        <w:adjustRightInd w:val="0"/>
        <w:spacing w:before="0" w:after="240" w:line="240" w:lineRule="auto"/>
        <w:jc w:val="both"/>
        <w:rPr>
          <w:rFonts w:ascii="Arial" w:hAnsi="Arial" w:cs="Arial"/>
          <w:color w:val="auto"/>
          <w:sz w:val="24"/>
          <w:szCs w:val="24"/>
        </w:rPr>
      </w:pPr>
      <w:bookmarkStart w:id="98" w:name="_Toc144211897"/>
      <w:r w:rsidRPr="000F5504">
        <w:rPr>
          <w:rFonts w:ascii="Arial" w:hAnsi="Arial" w:cs="Arial"/>
          <w:color w:val="auto"/>
          <w:sz w:val="24"/>
          <w:szCs w:val="24"/>
        </w:rPr>
        <w:t>SUSTAINABILITY / SOCIAL VALUE</w:t>
      </w:r>
      <w:bookmarkEnd w:id="98"/>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PPN 06/20 guidance documents can be found at: </w:t>
      </w:r>
      <w:hyperlink r:id="rId10" w:history="1">
        <w:r w:rsidRPr="000F5504">
          <w:rPr>
            <w:rStyle w:val="Hyperlink"/>
            <w:rFonts w:ascii="Arial" w:hAnsi="Arial" w:cs="Arial"/>
            <w:b w:val="0"/>
            <w:color w:val="auto"/>
            <w:sz w:val="24"/>
            <w:szCs w:val="24"/>
          </w:rPr>
          <w:t>https://www.gov.uk/government/publications/procurement-policy-note-0620-taking-account-of-social-value-in-the-award-of-central-government-contracts</w:t>
        </w:r>
      </w:hyperlink>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w:t>
      </w:r>
      <w:hyperlink r:id="rId11" w:history="1">
        <w:r w:rsidRPr="000F5504">
          <w:rPr>
            <w:rStyle w:val="Hyperlink"/>
            <w:rFonts w:ascii="Arial" w:hAnsi="Arial" w:cs="Arial"/>
            <w:b w:val="0"/>
            <w:color w:val="auto"/>
            <w:sz w:val="24"/>
            <w:szCs w:val="24"/>
          </w:rPr>
          <w:t>Social Value for Commercial Success</w:t>
        </w:r>
      </w:hyperlink>
      <w:r w:rsidRPr="000F5504">
        <w:rPr>
          <w:rFonts w:ascii="Arial" w:hAnsi="Arial" w:cs="Arial"/>
          <w:b w:val="0"/>
          <w:color w:val="auto"/>
          <w:sz w:val="24"/>
          <w:szCs w:val="24"/>
        </w:rPr>
        <w:t>’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99" w:name="_Toc368573036"/>
      <w:bookmarkStart w:id="100" w:name="_Toc144211898"/>
      <w:r w:rsidRPr="000F5504">
        <w:rPr>
          <w:rFonts w:ascii="Arial" w:hAnsi="Arial" w:cs="Arial"/>
          <w:color w:val="auto"/>
          <w:sz w:val="24"/>
          <w:szCs w:val="24"/>
        </w:rPr>
        <w:t>QUALITY</w:t>
      </w:r>
      <w:bookmarkEnd w:id="99"/>
      <w:bookmarkEnd w:id="100"/>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bookmarkStart w:id="101" w:name="_Toc368573037"/>
      <w:r w:rsidRPr="000F5504">
        <w:rPr>
          <w:rFonts w:ascii="Arial" w:hAnsi="Arial" w:cs="Arial"/>
          <w:b w:val="0"/>
          <w:color w:val="auto"/>
          <w:sz w:val="24"/>
          <w:szCs w:val="24"/>
        </w:rPr>
        <w:t>The Potential Provider will adhere to the current Social and Market Research and Data Protection standards.</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02" w:name="_Toc144211899"/>
      <w:r w:rsidRPr="000F5504">
        <w:rPr>
          <w:rFonts w:ascii="Arial" w:hAnsi="Arial" w:cs="Arial"/>
          <w:color w:val="auto"/>
          <w:sz w:val="24"/>
          <w:szCs w:val="24"/>
        </w:rPr>
        <w:t>PRICE</w:t>
      </w:r>
      <w:bookmarkEnd w:id="101"/>
      <w:bookmarkEnd w:id="102"/>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Contract will be used by the department to provide quicker access to externally commissioned research. For the purpose of this Invitation to Tender we have developed an example research requirement, to show the range of the research methods, subjects and outputs that may be commissioned by the Authority and has been designed only for the purpose of evaluating proposals for this Contract.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To manage the flexibility needed for this project and allow for a fair assessment of bids, bidders are invited to price the example requirement as set out in paragraph 14.4, and, a Pricing Schedule as indicated in para 14.5.</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In pricing this project, bidders should be aware that:</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lastRenderedPageBreak/>
        <w:t>All projects outlined are examples of the types of projects that might be required.</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The number of research projects supported under the Contract may be fewer than described.</w:t>
      </w:r>
    </w:p>
    <w:p w:rsidR="000F5504" w:rsidRPr="000F5504" w:rsidRDefault="000F5504" w:rsidP="000F5504">
      <w:pPr>
        <w:pStyle w:val="Heading3"/>
        <w:keepNext w:val="0"/>
        <w:keepLines w:val="0"/>
        <w:numPr>
          <w:ilvl w:val="2"/>
          <w:numId w:val="84"/>
        </w:numPr>
        <w:adjustRightInd w:val="0"/>
        <w:spacing w:before="0" w:after="240" w:line="240" w:lineRule="auto"/>
        <w:jc w:val="both"/>
        <w:rPr>
          <w:rFonts w:ascii="Arial" w:hAnsi="Arial" w:cs="Arial"/>
          <w:color w:val="auto"/>
        </w:rPr>
      </w:pPr>
      <w:r w:rsidRPr="000F5504">
        <w:rPr>
          <w:rFonts w:ascii="Arial" w:hAnsi="Arial" w:cs="Arial"/>
          <w:color w:val="auto"/>
        </w:rPr>
        <w:t>Research projects taken forward may differ in size and require varying levels of resource.</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There is a scenario project to be costed as part of the price evaluation:</w:t>
      </w:r>
    </w:p>
    <w:p w:rsidR="000F5504" w:rsidRPr="000F5504" w:rsidRDefault="000F5504" w:rsidP="000F5504">
      <w:pPr>
        <w:ind w:left="720" w:hanging="720"/>
        <w:rPr>
          <w:rFonts w:ascii="Arial" w:hAnsi="Arial" w:cs="Arial"/>
          <w:bCs/>
          <w:sz w:val="24"/>
          <w:szCs w:val="24"/>
        </w:rPr>
      </w:pPr>
      <w:r w:rsidRPr="000F5504">
        <w:rPr>
          <w:rFonts w:ascii="Arial" w:hAnsi="Arial" w:cs="Arial"/>
          <w:bCs/>
          <w:sz w:val="24"/>
          <w:szCs w:val="24"/>
        </w:rPr>
        <w:t xml:space="preserve">Applying for disability benefits mixed-mode research  </w:t>
      </w:r>
    </w:p>
    <w:p w:rsidR="000F5504" w:rsidRPr="000F5504" w:rsidRDefault="000F5504" w:rsidP="000F5504">
      <w:pPr>
        <w:pStyle w:val="Heading2"/>
        <w:spacing w:after="120"/>
        <w:rPr>
          <w:rFonts w:ascii="Arial" w:hAnsi="Arial" w:cs="Arial"/>
          <w:b w:val="0"/>
          <w:color w:val="auto"/>
          <w:sz w:val="24"/>
          <w:szCs w:val="24"/>
        </w:rPr>
      </w:pPr>
      <w:r w:rsidRPr="000F5504">
        <w:rPr>
          <w:rFonts w:ascii="Arial" w:hAnsi="Arial" w:cs="Arial"/>
          <w:b w:val="0"/>
          <w:color w:val="auto"/>
          <w:sz w:val="24"/>
          <w:szCs w:val="24"/>
        </w:rPr>
        <w:t xml:space="preserve">The Department for Work and Pensions conducts around 1.9 million assessments for disability benefits a year.  The focus of this research is on the claimant experience in applying for these benefits.  It will produce evidence on how claimant experience differs according to claimant characteristics, allowing the Department to consider the merits and barriers to claiming.  </w:t>
      </w:r>
    </w:p>
    <w:p w:rsidR="000F5504" w:rsidRPr="000F5504" w:rsidRDefault="000F5504" w:rsidP="000F5504">
      <w:pPr>
        <w:pStyle w:val="Heading2"/>
        <w:spacing w:after="120"/>
        <w:ind w:left="720" w:hanging="720"/>
        <w:rPr>
          <w:rFonts w:ascii="Arial" w:hAnsi="Arial" w:cs="Arial"/>
          <w:b w:val="0"/>
          <w:color w:val="auto"/>
          <w:sz w:val="24"/>
          <w:szCs w:val="24"/>
        </w:rPr>
      </w:pPr>
      <w:r w:rsidRPr="000F5504">
        <w:rPr>
          <w:rFonts w:ascii="Arial" w:hAnsi="Arial" w:cs="Arial"/>
          <w:b w:val="0"/>
          <w:color w:val="auto"/>
          <w:sz w:val="24"/>
          <w:szCs w:val="24"/>
        </w:rPr>
        <w:t>We are proposing that this is approached using the following methods.</w:t>
      </w:r>
    </w:p>
    <w:p w:rsidR="000F5504" w:rsidRPr="000F5504" w:rsidRDefault="000F5504" w:rsidP="000F5504">
      <w:pPr>
        <w:pStyle w:val="ListParagraph"/>
        <w:numPr>
          <w:ilvl w:val="0"/>
          <w:numId w:val="86"/>
        </w:numPr>
        <w:spacing w:line="259" w:lineRule="auto"/>
        <w:ind w:left="1080" w:hanging="1080"/>
        <w:contextualSpacing/>
        <w:rPr>
          <w:rFonts w:cs="Arial"/>
          <w:sz w:val="24"/>
        </w:rPr>
      </w:pPr>
      <w:r w:rsidRPr="000F5504">
        <w:rPr>
          <w:rFonts w:cs="Arial"/>
          <w:sz w:val="24"/>
        </w:rPr>
        <w:t>Mixed mode online and telephone survey with an achieved sample of 4,000 claimants (split between PIP, ESA, UC and DLA-Child). The survey will collect demographic information, as well as including questions on claimants’ experiences at different points of the application process (e.g. at application stage, health assessment, any other communication with the Department about their claim, notification of award).</w:t>
      </w:r>
    </w:p>
    <w:p w:rsidR="000F5504" w:rsidRPr="000F5504" w:rsidRDefault="000F5504" w:rsidP="000F5504">
      <w:pPr>
        <w:pStyle w:val="ListParagraph"/>
        <w:ind w:left="1080" w:hanging="1080"/>
        <w:rPr>
          <w:rFonts w:cs="Arial"/>
          <w:sz w:val="24"/>
        </w:rPr>
      </w:pPr>
    </w:p>
    <w:p w:rsidR="000F5504" w:rsidRPr="000F5504" w:rsidRDefault="000F5504" w:rsidP="000F5504">
      <w:pPr>
        <w:pStyle w:val="ListParagraph"/>
        <w:numPr>
          <w:ilvl w:val="0"/>
          <w:numId w:val="86"/>
        </w:numPr>
        <w:ind w:left="1080" w:hanging="1080"/>
        <w:contextualSpacing/>
        <w:rPr>
          <w:rFonts w:cs="Arial"/>
          <w:sz w:val="24"/>
        </w:rPr>
      </w:pPr>
      <w:r w:rsidRPr="000F5504">
        <w:rPr>
          <w:rFonts w:cs="Arial"/>
          <w:sz w:val="24"/>
        </w:rPr>
        <w:t xml:space="preserve">40 qualitative in-depth (proposed telephone) interviews to last a maximum of 45 minutes with PIP and UC claimants from the initial survey who have recently had completed an application or had a health assessment to examine further experiences of these claimants.    </w:t>
      </w:r>
    </w:p>
    <w:p w:rsidR="000F5504" w:rsidRPr="000F5504" w:rsidRDefault="000F5504" w:rsidP="000F5504">
      <w:pPr>
        <w:pStyle w:val="ListParagraph"/>
        <w:rPr>
          <w:rFonts w:cs="Arial"/>
          <w:sz w:val="24"/>
        </w:rPr>
      </w:pP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Attachment 4 – Pricing Schedule (submitted via the e-Sourcing suite) will require the Potential Provider’s day rates and resource allocation for your team structure. The Authority will use this information to conduct the price evaluation.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Authority is seeking high quality bids, which make use of a range of methodologies and fieldwork techniques. Suggested methods are set </w:t>
      </w:r>
      <w:proofErr w:type="gramStart"/>
      <w:r w:rsidRPr="000F5504">
        <w:rPr>
          <w:rFonts w:ascii="Arial" w:hAnsi="Arial" w:cs="Arial"/>
          <w:b w:val="0"/>
          <w:color w:val="auto"/>
          <w:sz w:val="24"/>
          <w:szCs w:val="24"/>
        </w:rPr>
        <w:t>out,</w:t>
      </w:r>
      <w:proofErr w:type="gramEnd"/>
      <w:r w:rsidRPr="000F5504">
        <w:rPr>
          <w:rFonts w:ascii="Arial" w:hAnsi="Arial" w:cs="Arial"/>
          <w:b w:val="0"/>
          <w:color w:val="auto"/>
          <w:sz w:val="24"/>
          <w:szCs w:val="24"/>
        </w:rPr>
        <w:t xml:space="preserve"> however, the use of alternative and innovative methods is encouraged.  </w:t>
      </w:r>
    </w:p>
    <w:p w:rsidR="000F5504" w:rsidRPr="000F5504" w:rsidRDefault="000F5504" w:rsidP="000F5504">
      <w:pPr>
        <w:pStyle w:val="Heading2"/>
        <w:keepNext w:val="0"/>
        <w:keepLines w:val="0"/>
        <w:numPr>
          <w:ilvl w:val="1"/>
          <w:numId w:val="8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0F5504">
        <w:rPr>
          <w:rFonts w:ascii="Arial" w:hAnsi="Arial" w:cs="Arial"/>
          <w:b w:val="0"/>
          <w:color w:val="auto"/>
          <w:sz w:val="24"/>
          <w:szCs w:val="24"/>
        </w:rPr>
        <w:t>Prices are to be submitted via the e-Sourcing Suite Attachment 4 – Price Schedule excluding VAT.</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03" w:name="_Toc368573038"/>
      <w:bookmarkStart w:id="104" w:name="_Toc144211900"/>
      <w:r w:rsidRPr="000F5504">
        <w:rPr>
          <w:rFonts w:ascii="Arial" w:hAnsi="Arial" w:cs="Arial"/>
          <w:color w:val="auto"/>
          <w:sz w:val="24"/>
          <w:szCs w:val="24"/>
        </w:rPr>
        <w:t>STAFF AND CUSTOMER SERVICE</w:t>
      </w:r>
      <w:bookmarkEnd w:id="103"/>
      <w:bookmarkEnd w:id="104"/>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bookmarkStart w:id="105" w:name="_Toc368573039"/>
      <w:r w:rsidRPr="000F5504">
        <w:rPr>
          <w:rFonts w:ascii="Arial" w:hAnsi="Arial" w:cs="Arial"/>
          <w:b w:val="0"/>
          <w:color w:val="auto"/>
          <w:sz w:val="24"/>
          <w:szCs w:val="24"/>
        </w:rPr>
        <w:t>The following should be covered as part of your bid:</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The Authority requires the Potential Provider to provide a sufficient level of resource throughout the duration of this Contract in order to consistently deliver </w:t>
      </w:r>
      <w:r w:rsidRPr="000F5504">
        <w:rPr>
          <w:rFonts w:ascii="Arial" w:hAnsi="Arial" w:cs="Arial"/>
          <w:b w:val="0"/>
          <w:color w:val="auto"/>
          <w:sz w:val="24"/>
          <w:szCs w:val="24"/>
        </w:rPr>
        <w:lastRenderedPageBreak/>
        <w:t xml:space="preserve">a quality service to all Parties, especially when concurrent research projects are authorised. </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Potential Provider’s staff assigned to this Contract shall have the relevant qualifications and experience to deliver the Contract. Staff should be able to demonstrate their relevant qualifications and/or experience for each authorised project.</w:t>
      </w:r>
    </w:p>
    <w:p w:rsidR="000F5504" w:rsidRPr="000F5504" w:rsidRDefault="000F5504" w:rsidP="000F5504">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0F5504">
        <w:rPr>
          <w:rFonts w:ascii="Arial" w:hAnsi="Arial" w:cs="Arial"/>
          <w:b w:val="0"/>
          <w:color w:val="auto"/>
          <w:sz w:val="24"/>
          <w:szCs w:val="24"/>
        </w:rPr>
        <w:t xml:space="preserve">The Potential Provider shall ensure that staff understand the Authority’s vision and objectives and will provide excellent customer service to the Authority throughout the duration of the Contract.  </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06" w:name="_Toc144211901"/>
      <w:r w:rsidRPr="000F5504">
        <w:rPr>
          <w:rFonts w:ascii="Arial" w:hAnsi="Arial" w:cs="Arial"/>
          <w:color w:val="auto"/>
          <w:sz w:val="24"/>
          <w:szCs w:val="24"/>
        </w:rPr>
        <w:t>SERVICE LEVELS AND PERFORMANCE</w:t>
      </w:r>
      <w:bookmarkEnd w:id="105"/>
      <w:bookmarkEnd w:id="106"/>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Authority will measure the quality of the Potential Provider’s delivery by completion of specified project outputs to a publishable standard and to the specified timescales. The Potential Provider will appoint a lead liaison representative who will work with the over-arching research project manager and the individual subject matter research project managers to deliver the agreed work schedules.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Progress and sign-off of products will be assessed by the CASS project lead and with representation including the DWP project managers, policy professionals and policy analysts from across Ministerial policy areas.</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must have sound processes for quality assurance in place and should demonstrate their internal procedures to assure and control quality in all aspects of the study within their proposal. The Authority will measure the quality of the Potential Provider’s delivery against the table below:</w:t>
      </w:r>
    </w:p>
    <w:tbl>
      <w:tblPr>
        <w:tblStyle w:val="TableGrid"/>
        <w:tblW w:w="0" w:type="auto"/>
        <w:tblInd w:w="720" w:type="dxa"/>
        <w:tblLook w:val="04A0" w:firstRow="1" w:lastRow="0" w:firstColumn="1" w:lastColumn="0" w:noHBand="0" w:noVBand="1"/>
      </w:tblPr>
      <w:tblGrid>
        <w:gridCol w:w="1163"/>
        <w:gridCol w:w="1756"/>
        <w:gridCol w:w="4291"/>
        <w:gridCol w:w="1086"/>
      </w:tblGrid>
      <w:tr w:rsidR="000F5504" w:rsidRPr="000F5504" w:rsidTr="00996FE6">
        <w:tc>
          <w:tcPr>
            <w:tcW w:w="1163" w:type="dxa"/>
            <w:shd w:val="clear" w:color="auto" w:fill="B8CCE4" w:themeFill="accent1" w:themeFillTint="66"/>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lastRenderedPageBreak/>
              <w:t>KPI/SLA</w:t>
            </w:r>
          </w:p>
        </w:tc>
        <w:tc>
          <w:tcPr>
            <w:tcW w:w="1756" w:type="dxa"/>
            <w:shd w:val="clear" w:color="auto" w:fill="B8CCE4" w:themeFill="accent1" w:themeFillTint="66"/>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Service Area</w:t>
            </w:r>
          </w:p>
        </w:tc>
        <w:tc>
          <w:tcPr>
            <w:tcW w:w="4294" w:type="dxa"/>
            <w:shd w:val="clear" w:color="auto" w:fill="B8CCE4" w:themeFill="accent1" w:themeFillTint="66"/>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KPI/SLA description</w:t>
            </w:r>
          </w:p>
        </w:tc>
        <w:tc>
          <w:tcPr>
            <w:tcW w:w="1086" w:type="dxa"/>
            <w:shd w:val="clear" w:color="auto" w:fill="B8CCE4" w:themeFill="accent1" w:themeFillTint="66"/>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Target</w:t>
            </w:r>
          </w:p>
        </w:tc>
      </w:tr>
      <w:tr w:rsidR="000F5504" w:rsidRPr="000F5504" w:rsidTr="00996FE6">
        <w:tc>
          <w:tcPr>
            <w:tcW w:w="1163"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1</w:t>
            </w:r>
          </w:p>
        </w:tc>
        <w:tc>
          <w:tcPr>
            <w:tcW w:w="1756" w:type="dxa"/>
          </w:tcPr>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Project management and capacity</w:t>
            </w:r>
          </w:p>
        </w:tc>
        <w:tc>
          <w:tcPr>
            <w:tcW w:w="4294" w:type="dxa"/>
          </w:tcPr>
          <w:p w:rsidR="000F5504" w:rsidRPr="000F5504" w:rsidRDefault="000F5504" w:rsidP="00996FE6">
            <w:pPr>
              <w:pStyle w:val="Heading2"/>
              <w:numPr>
                <w:ilvl w:val="1"/>
                <w:numId w:val="0"/>
              </w:numPr>
              <w:outlineLvl w:val="1"/>
              <w:rPr>
                <w:rFonts w:ascii="Arial" w:hAnsi="Arial" w:cs="Arial"/>
                <w:b w:val="0"/>
                <w:color w:val="auto"/>
                <w:sz w:val="24"/>
                <w:szCs w:val="24"/>
              </w:rPr>
            </w:pPr>
            <w:r w:rsidRPr="000F5504">
              <w:rPr>
                <w:rFonts w:ascii="Arial" w:hAnsi="Arial" w:cs="Arial"/>
                <w:b w:val="0"/>
                <w:color w:val="auto"/>
                <w:sz w:val="24"/>
                <w:szCs w:val="24"/>
              </w:rPr>
              <w:t>Specified and clearly defined procedures for working closely with DWP through regular updates.</w:t>
            </w:r>
          </w:p>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Take clear steps to manage the resource demands concurrent projects, ensuring the necessary capacity, resource and expertise.</w:t>
            </w:r>
          </w:p>
        </w:tc>
        <w:tc>
          <w:tcPr>
            <w:tcW w:w="1086"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100%</w:t>
            </w:r>
          </w:p>
        </w:tc>
      </w:tr>
      <w:tr w:rsidR="000F5504" w:rsidRPr="000F5504" w:rsidTr="00996FE6">
        <w:tc>
          <w:tcPr>
            <w:tcW w:w="1163"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2</w:t>
            </w:r>
          </w:p>
        </w:tc>
        <w:tc>
          <w:tcPr>
            <w:tcW w:w="1756" w:type="dxa"/>
          </w:tcPr>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Quality assurance</w:t>
            </w:r>
          </w:p>
        </w:tc>
        <w:tc>
          <w:tcPr>
            <w:tcW w:w="4294" w:type="dxa"/>
          </w:tcPr>
          <w:p w:rsidR="000F5504" w:rsidRPr="000F5504" w:rsidRDefault="000F5504" w:rsidP="00996FE6">
            <w:pPr>
              <w:pStyle w:val="Heading2"/>
              <w:numPr>
                <w:ilvl w:val="1"/>
                <w:numId w:val="0"/>
              </w:numPr>
              <w:outlineLvl w:val="1"/>
              <w:rPr>
                <w:rFonts w:ascii="Arial" w:hAnsi="Arial" w:cs="Arial"/>
                <w:b w:val="0"/>
                <w:color w:val="auto"/>
                <w:sz w:val="24"/>
                <w:szCs w:val="24"/>
              </w:rPr>
            </w:pPr>
            <w:r w:rsidRPr="000F5504">
              <w:rPr>
                <w:rFonts w:ascii="Arial" w:hAnsi="Arial" w:cs="Arial"/>
                <w:b w:val="0"/>
                <w:color w:val="auto"/>
                <w:sz w:val="24"/>
                <w:szCs w:val="24"/>
              </w:rPr>
              <w:t>Specified and clearly defined procedures for quality assuring methodological design proposals.</w:t>
            </w:r>
          </w:p>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Take clear steps to ensure all analysis is quality assured and suitable for informing policy decisions and publications.</w:t>
            </w:r>
          </w:p>
        </w:tc>
        <w:tc>
          <w:tcPr>
            <w:tcW w:w="1086"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100%</w:t>
            </w:r>
          </w:p>
        </w:tc>
      </w:tr>
      <w:tr w:rsidR="000F5504" w:rsidRPr="000F5504" w:rsidTr="00996FE6">
        <w:tc>
          <w:tcPr>
            <w:tcW w:w="1163"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3</w:t>
            </w:r>
          </w:p>
        </w:tc>
        <w:tc>
          <w:tcPr>
            <w:tcW w:w="1756" w:type="dxa"/>
          </w:tcPr>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Relevant Expertise</w:t>
            </w:r>
          </w:p>
        </w:tc>
        <w:tc>
          <w:tcPr>
            <w:tcW w:w="4294" w:type="dxa"/>
          </w:tcPr>
          <w:p w:rsidR="000F5504" w:rsidRPr="000F5504" w:rsidRDefault="000F5504" w:rsidP="00996FE6">
            <w:pPr>
              <w:pStyle w:val="Heading2"/>
              <w:numPr>
                <w:ilvl w:val="1"/>
                <w:numId w:val="0"/>
              </w:numPr>
              <w:outlineLvl w:val="1"/>
              <w:rPr>
                <w:rFonts w:ascii="Arial" w:hAnsi="Arial" w:cs="Arial"/>
                <w:b w:val="0"/>
                <w:color w:val="auto"/>
                <w:sz w:val="24"/>
                <w:szCs w:val="24"/>
              </w:rPr>
            </w:pPr>
            <w:r w:rsidRPr="000F5504">
              <w:rPr>
                <w:rFonts w:ascii="Arial" w:hAnsi="Arial" w:cs="Arial"/>
                <w:b w:val="0"/>
                <w:color w:val="auto"/>
                <w:sz w:val="24"/>
                <w:szCs w:val="24"/>
              </w:rPr>
              <w:t>Specified and clearly defined procedures to ensure sufficient levels of relevant expertise, including policy areas and/or methodologies, for all potential projects.</w:t>
            </w:r>
          </w:p>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 xml:space="preserve">Take clear steps to ensure specific expertise is available on all specialist policy areas so that research requirements are sufficiently met. </w:t>
            </w:r>
          </w:p>
        </w:tc>
        <w:tc>
          <w:tcPr>
            <w:tcW w:w="1086"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100%</w:t>
            </w:r>
          </w:p>
        </w:tc>
      </w:tr>
      <w:tr w:rsidR="000F5504" w:rsidRPr="000F5504" w:rsidTr="00996FE6">
        <w:tc>
          <w:tcPr>
            <w:tcW w:w="1163"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4</w:t>
            </w:r>
          </w:p>
        </w:tc>
        <w:tc>
          <w:tcPr>
            <w:tcW w:w="1756" w:type="dxa"/>
          </w:tcPr>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 xml:space="preserve">Analysis and reporting </w:t>
            </w:r>
          </w:p>
        </w:tc>
        <w:tc>
          <w:tcPr>
            <w:tcW w:w="4294" w:type="dxa"/>
          </w:tcPr>
          <w:p w:rsidR="000F5504" w:rsidRPr="000F5504" w:rsidRDefault="000F5504" w:rsidP="00996FE6">
            <w:pPr>
              <w:pStyle w:val="Heading2"/>
              <w:outlineLvl w:val="1"/>
              <w:rPr>
                <w:rFonts w:ascii="Arial" w:hAnsi="Arial" w:cs="Arial"/>
                <w:b w:val="0"/>
                <w:color w:val="auto"/>
                <w:sz w:val="24"/>
                <w:szCs w:val="24"/>
              </w:rPr>
            </w:pPr>
            <w:r w:rsidRPr="000F5504">
              <w:rPr>
                <w:rFonts w:ascii="Arial" w:hAnsi="Arial" w:cs="Arial"/>
                <w:b w:val="0"/>
                <w:color w:val="auto"/>
                <w:sz w:val="24"/>
                <w:szCs w:val="24"/>
              </w:rPr>
              <w:t>Clear quality control procedures in place to ensure accuracy and high quality with findings reports. Clear steps to ensure the accuracy and quality does not suffer as a result of concurrent projects and high work volumes.</w:t>
            </w:r>
          </w:p>
        </w:tc>
        <w:tc>
          <w:tcPr>
            <w:tcW w:w="1086" w:type="dxa"/>
          </w:tcPr>
          <w:p w:rsidR="000F5504" w:rsidRPr="000F5504" w:rsidRDefault="000F5504" w:rsidP="00996FE6">
            <w:pPr>
              <w:pStyle w:val="Heading2"/>
              <w:jc w:val="center"/>
              <w:outlineLvl w:val="1"/>
              <w:rPr>
                <w:rFonts w:ascii="Arial" w:hAnsi="Arial" w:cs="Arial"/>
                <w:b w:val="0"/>
                <w:color w:val="auto"/>
                <w:sz w:val="24"/>
                <w:szCs w:val="24"/>
              </w:rPr>
            </w:pPr>
            <w:r w:rsidRPr="000F5504">
              <w:rPr>
                <w:rFonts w:ascii="Arial" w:hAnsi="Arial" w:cs="Arial"/>
                <w:b w:val="0"/>
                <w:color w:val="auto"/>
                <w:sz w:val="24"/>
                <w:szCs w:val="24"/>
              </w:rPr>
              <w:t>100%</w:t>
            </w:r>
          </w:p>
        </w:tc>
      </w:tr>
    </w:tbl>
    <w:p w:rsidR="000F5504" w:rsidRPr="000F5504" w:rsidRDefault="000F5504" w:rsidP="000F5504">
      <w:pPr>
        <w:pStyle w:val="Heading2"/>
        <w:ind w:left="720"/>
        <w:rPr>
          <w:rFonts w:ascii="Arial" w:hAnsi="Arial" w:cs="Arial"/>
          <w:b w:val="0"/>
          <w:color w:val="auto"/>
          <w:sz w:val="24"/>
          <w:szCs w:val="24"/>
        </w:rPr>
      </w:pPr>
    </w:p>
    <w:p w:rsidR="000F5504" w:rsidRPr="000F5504" w:rsidRDefault="000F5504" w:rsidP="000F5504">
      <w:pPr>
        <w:pStyle w:val="Heading1"/>
        <w:keepLines w:val="0"/>
        <w:numPr>
          <w:ilvl w:val="0"/>
          <w:numId w:val="84"/>
        </w:numPr>
        <w:adjustRightInd w:val="0"/>
        <w:spacing w:before="0" w:after="120" w:line="240" w:lineRule="auto"/>
        <w:jc w:val="both"/>
        <w:rPr>
          <w:rFonts w:ascii="Arial" w:hAnsi="Arial" w:cs="Arial"/>
          <w:color w:val="auto"/>
          <w:sz w:val="24"/>
          <w:szCs w:val="24"/>
        </w:rPr>
      </w:pPr>
      <w:bookmarkStart w:id="107" w:name="_Toc368573040"/>
      <w:bookmarkStart w:id="108" w:name="_Toc144211902"/>
      <w:r w:rsidRPr="000F5504">
        <w:rPr>
          <w:rFonts w:ascii="Arial" w:hAnsi="Arial" w:cs="Arial"/>
          <w:color w:val="auto"/>
          <w:sz w:val="24"/>
          <w:szCs w:val="24"/>
        </w:rPr>
        <w:t>SECURITY AND CONFIDENTIALITY REQUIREMENTS</w:t>
      </w:r>
      <w:bookmarkEnd w:id="107"/>
      <w:bookmarkEnd w:id="108"/>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will be required to complete an Information Security Questionnaire (ISQ) before award of this Contract to provide assurance that data security procedures meet DWP and industry standards and highlight any gaps that need to be remediated. Should the Potential Provider have a current and valid ISQ in place then this may be acceptable in order for projects to commence. The Authority reserves the right to request an updated ISQ at any point during this Contract, however one must be provided at a minimum of every 12 months.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lastRenderedPageBreak/>
        <w:t xml:space="preserve">All transfers of personal data to and from the Department must meet DWP security standards.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Any transfers of data to and from the Potential Provider and a sub-contractor must meet DWP security standards, using PGP encryption software or equivalent.</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Data must be processed in the United Kingdom. All servers must be located within the United Kingdom.</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09" w:name="_Toc144211903"/>
      <w:bookmarkStart w:id="110" w:name="_Toc368573042"/>
      <w:r w:rsidRPr="000F5504">
        <w:rPr>
          <w:rFonts w:ascii="Arial" w:hAnsi="Arial" w:cs="Arial"/>
          <w:color w:val="auto"/>
          <w:sz w:val="24"/>
          <w:szCs w:val="24"/>
        </w:rPr>
        <w:t>INTELLECTUAL PROPERTY RIGHTS (IPR)</w:t>
      </w:r>
      <w:bookmarkEnd w:id="109"/>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All IPR conditions are outlined in Terms and Conditions in Attachment 5. </w:t>
      </w:r>
    </w:p>
    <w:p w:rsidR="000F5504" w:rsidRPr="000F5504" w:rsidRDefault="000F5504" w:rsidP="000F5504">
      <w:pPr>
        <w:pStyle w:val="Heading1"/>
        <w:keepLines w:val="0"/>
        <w:numPr>
          <w:ilvl w:val="0"/>
          <w:numId w:val="8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24"/>
          <w:szCs w:val="24"/>
        </w:rPr>
      </w:pPr>
      <w:bookmarkStart w:id="111" w:name="_Toc144211904"/>
      <w:r w:rsidRPr="000F5504">
        <w:rPr>
          <w:rFonts w:ascii="Arial" w:hAnsi="Arial" w:cs="Arial"/>
          <w:color w:val="auto"/>
          <w:sz w:val="24"/>
          <w:szCs w:val="24"/>
        </w:rPr>
        <w:t>PAYMENT AND INVOICING</w:t>
      </w:r>
      <w:bookmarkEnd w:id="111"/>
      <w:r w:rsidRPr="000F5504">
        <w:rPr>
          <w:rFonts w:ascii="Arial" w:hAnsi="Arial" w:cs="Arial"/>
          <w:color w:val="auto"/>
          <w:sz w:val="24"/>
          <w:szCs w:val="24"/>
        </w:rPr>
        <w:t xml:space="preserve">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shd w:val="clear" w:color="auto" w:fill="FFFFFF"/>
        </w:rPr>
      </w:pPr>
      <w:r w:rsidRPr="000F5504">
        <w:rPr>
          <w:rFonts w:ascii="Arial" w:hAnsi="Arial" w:cs="Arial"/>
          <w:b w:val="0"/>
          <w:color w:val="auto"/>
          <w:sz w:val="24"/>
          <w:szCs w:val="24"/>
          <w:shd w:val="clear" w:color="auto" w:fill="FFFFFF"/>
        </w:rPr>
        <w:t xml:space="preserve">Before payment can be considered, each invoice must include a detailed elemental breakdown of work completed and the associated costs. All invoices should be sent to the nominated DWP project manager in the first instance copying in the CASS project lead.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shd w:val="clear" w:color="auto" w:fill="FFFFFF"/>
        </w:rPr>
        <w:t xml:space="preserve">Payment can only be made following satisfactory delivery of pre-agreed certified products and deliverables.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0F5504">
        <w:rPr>
          <w:rFonts w:ascii="Arial" w:hAnsi="Arial" w:cs="Arial"/>
          <w:b w:val="0"/>
          <w:color w:val="auto"/>
          <w:sz w:val="24"/>
          <w:szCs w:val="24"/>
          <w:shd w:val="clear" w:color="auto" w:fill="FFFFFF"/>
        </w:rPr>
        <w:t xml:space="preserve">Before payment can be considered, each invoice must include a detailed elemental breakdown of work completed and the associated costs. </w:t>
      </w:r>
    </w:p>
    <w:p w:rsidR="000F5504" w:rsidRPr="000F5504" w:rsidRDefault="000F5504" w:rsidP="000F5504">
      <w:pPr>
        <w:pStyle w:val="Heading1"/>
        <w:keepLines w:val="0"/>
        <w:numPr>
          <w:ilvl w:val="0"/>
          <w:numId w:val="84"/>
        </w:numPr>
        <w:adjustRightInd w:val="0"/>
        <w:spacing w:before="0" w:after="240" w:line="240" w:lineRule="auto"/>
        <w:jc w:val="both"/>
        <w:rPr>
          <w:rFonts w:ascii="Arial" w:hAnsi="Arial" w:cs="Arial"/>
          <w:color w:val="auto"/>
          <w:sz w:val="24"/>
          <w:szCs w:val="24"/>
        </w:rPr>
      </w:pPr>
      <w:bookmarkStart w:id="112" w:name="_Toc144211905"/>
      <w:bookmarkEnd w:id="110"/>
      <w:r w:rsidRPr="000F5504">
        <w:rPr>
          <w:rFonts w:ascii="Arial" w:hAnsi="Arial" w:cs="Arial"/>
          <w:color w:val="auto"/>
          <w:sz w:val="24"/>
          <w:szCs w:val="24"/>
        </w:rPr>
        <w:t>ADDITIONAL INFORMATION</w:t>
      </w:r>
      <w:bookmarkEnd w:id="112"/>
      <w:r w:rsidRPr="000F5504">
        <w:rPr>
          <w:rFonts w:ascii="Arial" w:hAnsi="Arial" w:cs="Arial"/>
          <w:color w:val="auto"/>
          <w:sz w:val="24"/>
          <w:szCs w:val="24"/>
        </w:rPr>
        <w:t xml:space="preserve"> </w:t>
      </w:r>
    </w:p>
    <w:p w:rsidR="000F5504" w:rsidRPr="000F5504" w:rsidRDefault="000F5504" w:rsidP="000F5504">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shd w:val="clear" w:color="auto" w:fill="FFFFFF"/>
        </w:rPr>
      </w:pPr>
      <w:r w:rsidRPr="000F5504">
        <w:rPr>
          <w:rFonts w:ascii="Arial" w:hAnsi="Arial" w:cs="Arial"/>
          <w:b w:val="0"/>
          <w:color w:val="auto"/>
          <w:sz w:val="24"/>
          <w:szCs w:val="24"/>
          <w:shd w:val="clear" w:color="auto" w:fill="FFFFFF"/>
        </w:rPr>
        <w:t>The Authority is keen to encourage sub-Contracting bids given the range of capabilities required.</w:t>
      </w:r>
    </w:p>
    <w:p w:rsidR="000F5504" w:rsidRPr="000F5504" w:rsidRDefault="000F5504" w:rsidP="000F5504">
      <w:pPr>
        <w:pStyle w:val="Heading1"/>
        <w:keepLines w:val="0"/>
        <w:numPr>
          <w:ilvl w:val="0"/>
          <w:numId w:val="84"/>
        </w:numPr>
        <w:adjustRightInd w:val="0"/>
        <w:spacing w:before="0" w:after="120" w:line="240" w:lineRule="auto"/>
        <w:jc w:val="both"/>
        <w:rPr>
          <w:rFonts w:ascii="Arial" w:hAnsi="Arial" w:cs="Arial"/>
          <w:color w:val="auto"/>
          <w:sz w:val="24"/>
          <w:szCs w:val="24"/>
        </w:rPr>
      </w:pPr>
      <w:bookmarkStart w:id="113" w:name="_Toc368573043"/>
      <w:bookmarkStart w:id="114" w:name="_Toc144211906"/>
      <w:bookmarkEnd w:id="90"/>
      <w:r w:rsidRPr="000F5504">
        <w:rPr>
          <w:rFonts w:ascii="Arial" w:hAnsi="Arial" w:cs="Arial"/>
          <w:color w:val="auto"/>
          <w:sz w:val="24"/>
          <w:szCs w:val="24"/>
        </w:rPr>
        <w:t>LOCATION</w:t>
      </w:r>
      <w:bookmarkEnd w:id="113"/>
      <w:bookmarkEnd w:id="114"/>
      <w:r w:rsidRPr="000F5504">
        <w:rPr>
          <w:rFonts w:ascii="Arial" w:hAnsi="Arial" w:cs="Arial"/>
          <w:color w:val="auto"/>
          <w:sz w:val="24"/>
          <w:szCs w:val="24"/>
        </w:rPr>
        <w:t xml:space="preserve"> </w:t>
      </w:r>
    </w:p>
    <w:p w:rsidR="000F5504" w:rsidRPr="000F5504" w:rsidRDefault="000F5504" w:rsidP="000F5504">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r w:rsidRPr="000F5504">
        <w:rPr>
          <w:rFonts w:ascii="Arial" w:hAnsi="Arial" w:cs="Arial"/>
          <w:b w:val="0"/>
          <w:color w:val="auto"/>
          <w:sz w:val="24"/>
          <w:szCs w:val="24"/>
        </w:rPr>
        <w:t>The Potential Provider will be based in their offices and will be expected to attend Project Management meetings, including potential travel to DWP Offices (London, Leeds or Sheffield).</w:t>
      </w:r>
    </w:p>
    <w:p w:rsidR="000F5504" w:rsidRPr="000F5504" w:rsidRDefault="000F5504" w:rsidP="000F5504">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0F5504">
        <w:rPr>
          <w:rFonts w:ascii="Arial" w:hAnsi="Arial" w:cs="Arial"/>
          <w:b w:val="0"/>
          <w:color w:val="auto"/>
          <w:sz w:val="24"/>
          <w:szCs w:val="24"/>
        </w:rPr>
        <w:t>Attendance at Project Management meetings shall be at the Supplier’s own expense.</w:t>
      </w:r>
    </w:p>
    <w:p w:rsidR="000F5504" w:rsidRPr="000F5504" w:rsidRDefault="000F5504" w:rsidP="000F5504">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r w:rsidRPr="000F5504">
        <w:rPr>
          <w:rFonts w:ascii="Arial" w:hAnsi="Arial" w:cs="Arial"/>
          <w:b w:val="0"/>
          <w:color w:val="auto"/>
          <w:sz w:val="24"/>
          <w:szCs w:val="24"/>
        </w:rPr>
        <w:t xml:space="preserve">The Potential Provider will be required to undertake research activity in Great Britain. </w:t>
      </w:r>
    </w:p>
    <w:p w:rsidR="00D2581B" w:rsidRDefault="00D2581B" w:rsidP="00E86078">
      <w:pPr>
        <w:pStyle w:val="GPSL1CLAUSEHEADING"/>
        <w:numPr>
          <w:ilvl w:val="0"/>
          <w:numId w:val="0"/>
        </w:numPr>
        <w:rPr>
          <w:rFonts w:ascii="Arial" w:hAnsi="Arial"/>
          <w:b w:val="0"/>
          <w:sz w:val="24"/>
          <w:szCs w:val="24"/>
        </w:rPr>
      </w:pPr>
    </w:p>
    <w:p w:rsidR="00D2581B" w:rsidRPr="00D2581B" w:rsidRDefault="00D2581B" w:rsidP="00D2581B">
      <w:pPr>
        <w:rPr>
          <w:lang w:eastAsia="zh-CN"/>
        </w:rPr>
      </w:pPr>
    </w:p>
    <w:p w:rsidR="00D2581B" w:rsidRPr="00D2581B" w:rsidRDefault="00D2581B" w:rsidP="00D2581B">
      <w:pPr>
        <w:rPr>
          <w:lang w:eastAsia="zh-CN"/>
        </w:rPr>
      </w:pPr>
    </w:p>
    <w:p w:rsidR="0081513E" w:rsidRPr="00F00591" w:rsidRDefault="0081513E" w:rsidP="009F58DC">
      <w:pPr>
        <w:tabs>
          <w:tab w:val="left" w:pos="1320"/>
        </w:tabs>
        <w:rPr>
          <w:lang w:eastAsia="zh-CN"/>
        </w:rPr>
      </w:pPr>
      <w:bookmarkStart w:id="115" w:name="_GoBack"/>
      <w:bookmarkEnd w:id="115"/>
    </w:p>
    <w:sectPr w:rsidR="0081513E" w:rsidRPr="00F00591">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7F4" w:rsidRDefault="00A047F4">
      <w:pPr>
        <w:spacing w:after="0" w:line="240" w:lineRule="auto"/>
      </w:pPr>
      <w:r>
        <w:separator/>
      </w:r>
    </w:p>
  </w:endnote>
  <w:endnote w:type="continuationSeparator" w:id="0">
    <w:p w:rsidR="00A047F4" w:rsidRDefault="00A04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7F4" w:rsidRDefault="00A047F4">
      <w:pPr>
        <w:spacing w:after="0" w:line="240" w:lineRule="auto"/>
      </w:pPr>
      <w:r>
        <w:separator/>
      </w:r>
    </w:p>
  </w:footnote>
  <w:footnote w:type="continuationSeparator" w:id="0">
    <w:p w:rsidR="00A047F4" w:rsidRDefault="00A047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B5073F"/>
    <w:multiLevelType w:val="hybridMultilevel"/>
    <w:tmpl w:val="7CF8A6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7"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0"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2"/>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2"/>
  </w:num>
  <w:num w:numId="8">
    <w:abstractNumId w:val="12"/>
  </w:num>
  <w:num w:numId="9">
    <w:abstractNumId w:val="12"/>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7"/>
  </w:num>
  <w:num w:numId="45">
    <w:abstractNumId w:val="12"/>
  </w:num>
  <w:num w:numId="46">
    <w:abstractNumId w:val="12"/>
  </w:num>
  <w:num w:numId="47">
    <w:abstractNumId w:val="4"/>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1"/>
  </w:num>
  <w:num w:numId="69">
    <w:abstractNumId w:val="12"/>
  </w:num>
  <w:num w:numId="70">
    <w:abstractNumId w:val="1"/>
  </w:num>
  <w:num w:numId="71">
    <w:abstractNumId w:val="12"/>
  </w:num>
  <w:num w:numId="72">
    <w:abstractNumId w:val="12"/>
  </w:num>
  <w:num w:numId="73">
    <w:abstractNumId w:val="12"/>
  </w:num>
  <w:num w:numId="74">
    <w:abstractNumId w:val="12"/>
  </w:num>
  <w:num w:numId="75">
    <w:abstractNumId w:val="12"/>
  </w:num>
  <w:num w:numId="76">
    <w:abstractNumId w:val="9"/>
  </w:num>
  <w:num w:numId="77">
    <w:abstractNumId w:val="12"/>
  </w:num>
  <w:num w:numId="78">
    <w:abstractNumId w:val="12"/>
  </w:num>
  <w:num w:numId="79">
    <w:abstractNumId w:val="12"/>
  </w:num>
  <w:num w:numId="80">
    <w:abstractNumId w:val="10"/>
  </w:num>
  <w:num w:numId="81">
    <w:abstractNumId w:val="8"/>
  </w:num>
  <w:num w:numId="82">
    <w:abstractNumId w:val="5"/>
  </w:num>
  <w:num w:numId="83">
    <w:abstractNumId w:val="12"/>
  </w:num>
  <w:num w:numId="84">
    <w:abstractNumId w:val="6"/>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0F5504"/>
    <w:rsid w:val="00123B48"/>
    <w:rsid w:val="001649BE"/>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F480A"/>
    <w:rsid w:val="009612FD"/>
    <w:rsid w:val="009F58DC"/>
    <w:rsid w:val="00A047F4"/>
    <w:rsid w:val="00A4427B"/>
    <w:rsid w:val="00A663BD"/>
    <w:rsid w:val="00BF1FD7"/>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740360"/>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0F550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unhideWhenUsed/>
    <w:qFormat/>
    <w:rsid w:val="000F550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0F5504"/>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0F5504"/>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0F5504"/>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0F5504"/>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0F5504"/>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0F550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0F5504"/>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rsid w:val="000F5504"/>
    <w:rPr>
      <w:rFonts w:ascii="Arial" w:eastAsia="STZhongsong" w:hAnsi="Arial" w:cs="Times New Roman"/>
      <w:szCs w:val="20"/>
      <w:lang w:eastAsia="zh-CN"/>
    </w:rPr>
  </w:style>
  <w:style w:type="character" w:customStyle="1" w:styleId="Heading6Char">
    <w:name w:val="Heading 6 Char"/>
    <w:basedOn w:val="DefaultParagraphFont"/>
    <w:link w:val="Heading6"/>
    <w:rsid w:val="000F5504"/>
    <w:rPr>
      <w:rFonts w:ascii="Arial" w:eastAsia="STZhongsong" w:hAnsi="Arial" w:cs="Times New Roman"/>
      <w:szCs w:val="20"/>
      <w:lang w:eastAsia="zh-CN"/>
    </w:rPr>
  </w:style>
  <w:style w:type="character" w:customStyle="1" w:styleId="Heading7Char">
    <w:name w:val="Heading 7 Char"/>
    <w:basedOn w:val="DefaultParagraphFont"/>
    <w:link w:val="Heading7"/>
    <w:rsid w:val="000F5504"/>
    <w:rPr>
      <w:rFonts w:ascii="Arial" w:eastAsia="STZhongsong" w:hAnsi="Arial" w:cs="Times New Roman"/>
      <w:szCs w:val="20"/>
      <w:lang w:eastAsia="zh-CN"/>
    </w:rPr>
  </w:style>
  <w:style w:type="character" w:customStyle="1" w:styleId="Heading8Char">
    <w:name w:val="Heading 8 Char"/>
    <w:basedOn w:val="DefaultParagraphFont"/>
    <w:link w:val="Heading8"/>
    <w:uiPriority w:val="99"/>
    <w:rsid w:val="000F5504"/>
    <w:rPr>
      <w:rFonts w:ascii="Arial" w:eastAsia="STZhongsong" w:hAnsi="Arial" w:cs="Times New Roman"/>
      <w:szCs w:val="20"/>
      <w:lang w:eastAsia="zh-CN"/>
    </w:rPr>
  </w:style>
  <w:style w:type="character" w:customStyle="1" w:styleId="Heading9Char">
    <w:name w:val="Heading 9 Char"/>
    <w:basedOn w:val="DefaultParagraphFont"/>
    <w:link w:val="Heading9"/>
    <w:uiPriority w:val="99"/>
    <w:rsid w:val="000F5504"/>
    <w:rPr>
      <w:rFonts w:ascii="Arial" w:eastAsia="STZhongsong" w:hAnsi="Arial" w:cs="Times New Roman"/>
      <w:szCs w:val="20"/>
      <w:lang w:eastAsia="zh-CN"/>
    </w:rPr>
  </w:style>
  <w:style w:type="character" w:styleId="Hyperlink">
    <w:name w:val="Hyperlink"/>
    <w:basedOn w:val="DefaultParagraphFont"/>
    <w:uiPriority w:val="99"/>
    <w:rsid w:val="000F5504"/>
    <w:rPr>
      <w:color w:val="0000FF"/>
      <w:u w:val="single"/>
    </w:rPr>
  </w:style>
  <w:style w:type="paragraph" w:styleId="ListParagraph">
    <w:name w:val="List Paragraph"/>
    <w:basedOn w:val="Normal"/>
    <w:uiPriority w:val="34"/>
    <w:qFormat/>
    <w:rsid w:val="000F5504"/>
    <w:pPr>
      <w:spacing w:after="0" w:line="240" w:lineRule="auto"/>
      <w:ind w:left="720"/>
    </w:pPr>
    <w:rPr>
      <w:rFonts w:ascii="Arial" w:eastAsia="SimSun"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dwp-areas-of-research-interest-201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commercialcollege.co.uk/auth/cabinetoffice/login.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settings" Target="settings.xml"/><Relationship Id="rId9" Type="http://schemas.openxmlformats.org/officeDocument/2006/relationships/hyperlink" Target="https://www.gov.uk/government/publications/dwp-research-reports-style-guide/dwp-research-reports-guid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48ED-CCE5-4DD3-B755-337F82E2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3245</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5</cp:revision>
  <dcterms:created xsi:type="dcterms:W3CDTF">2019-04-10T22:54:00Z</dcterms:created>
  <dcterms:modified xsi:type="dcterms:W3CDTF">2023-09-13T15:35:00Z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